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3" w:type="pct"/>
        <w:tblInd w:w="-284" w:type="dxa"/>
        <w:tblLayout w:type="fixed"/>
        <w:tblLook w:val="01E0" w:firstRow="1" w:lastRow="1" w:firstColumn="1" w:lastColumn="1" w:noHBand="0" w:noVBand="0"/>
      </w:tblPr>
      <w:tblGrid>
        <w:gridCol w:w="1687"/>
        <w:gridCol w:w="4126"/>
        <w:gridCol w:w="3827"/>
      </w:tblGrid>
      <w:tr w:rsidR="00F36C78" w:rsidRPr="00554018" w:rsidTr="00317B3F">
        <w:trPr>
          <w:trHeight w:val="959"/>
        </w:trPr>
        <w:tc>
          <w:tcPr>
            <w:tcW w:w="875" w:type="pct"/>
            <w:shd w:val="clear" w:color="auto" w:fill="auto"/>
          </w:tcPr>
          <w:p w:rsidR="00F36C78" w:rsidRPr="00554018" w:rsidRDefault="00F36C78" w:rsidP="00317B3F">
            <w:pPr>
              <w:tabs>
                <w:tab w:val="center" w:pos="4421"/>
                <w:tab w:val="center" w:pos="4536"/>
                <w:tab w:val="left" w:pos="7725"/>
                <w:tab w:val="right" w:pos="9072"/>
              </w:tabs>
              <w:ind w:left="176"/>
              <w:rPr>
                <w:rFonts w:ascii="Calibri" w:eastAsia="Calibri" w:hAnsi="Calibri"/>
                <w:b/>
                <w:color w:val="808080"/>
                <w:lang w:val="ru-RU" w:eastAsia="bg-BG"/>
              </w:rPr>
            </w:pPr>
            <w:r w:rsidRPr="00554018">
              <w:rPr>
                <w:rFonts w:ascii="Calibri" w:eastAsia="Calibri" w:hAnsi="Calibri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9D50192" wp14:editId="7BAA31F3">
                  <wp:simplePos x="0" y="0"/>
                  <wp:positionH relativeFrom="column">
                    <wp:posOffset>-339725</wp:posOffset>
                  </wp:positionH>
                  <wp:positionV relativeFrom="paragraph">
                    <wp:posOffset>43180</wp:posOffset>
                  </wp:positionV>
                  <wp:extent cx="1438275" cy="1015336"/>
                  <wp:effectExtent l="0" t="0" r="0" b="0"/>
                  <wp:wrapNone/>
                  <wp:docPr id="86" name="Picture 86" descr="EU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1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F36C78" w:rsidRPr="00554018" w:rsidRDefault="00F36C78" w:rsidP="00317B3F">
            <w:pPr>
              <w:tabs>
                <w:tab w:val="center" w:pos="4536"/>
                <w:tab w:val="right" w:pos="9072"/>
              </w:tabs>
              <w:ind w:right="360"/>
              <w:jc w:val="center"/>
              <w:rPr>
                <w:rFonts w:ascii="Calibri" w:eastAsia="Calibri" w:hAnsi="Calibri"/>
                <w:b/>
                <w:sz w:val="20"/>
                <w:lang w:val="bg-BG" w:eastAsia="bg-BG"/>
              </w:rPr>
            </w:pPr>
            <w:r w:rsidRPr="00554018">
              <w:rPr>
                <w:rFonts w:ascii="Calibri" w:eastAsia="Calibri" w:hAnsi="Calibri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0" wp14:anchorId="4B4B377B" wp14:editId="1F9C3B6F">
                  <wp:simplePos x="0" y="0"/>
                  <wp:positionH relativeFrom="column">
                    <wp:posOffset>1430020</wp:posOffset>
                  </wp:positionH>
                  <wp:positionV relativeFrom="paragraph">
                    <wp:posOffset>5715</wp:posOffset>
                  </wp:positionV>
                  <wp:extent cx="1143000" cy="976630"/>
                  <wp:effectExtent l="0" t="0" r="0" b="0"/>
                  <wp:wrapNone/>
                  <wp:docPr id="87" name="Picture 87" descr="OPHRD-center-gray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PHRD-center-gray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pct"/>
            <w:shd w:val="clear" w:color="auto" w:fill="auto"/>
          </w:tcPr>
          <w:p w:rsidR="00F36C78" w:rsidRPr="00554018" w:rsidRDefault="00F36C78" w:rsidP="00317B3F">
            <w:pPr>
              <w:tabs>
                <w:tab w:val="center" w:pos="4421"/>
                <w:tab w:val="center" w:pos="4536"/>
                <w:tab w:val="left" w:pos="7725"/>
                <w:tab w:val="right" w:pos="9356"/>
              </w:tabs>
              <w:ind w:left="894"/>
              <w:jc w:val="center"/>
              <w:rPr>
                <w:rFonts w:ascii="Calibri" w:eastAsia="Calibri" w:hAnsi="Calibri"/>
                <w:b/>
                <w:color w:val="808080"/>
                <w:lang w:val="ru-RU" w:eastAsia="bg-BG"/>
              </w:rPr>
            </w:pPr>
            <w:r>
              <w:rPr>
                <w:rFonts w:ascii="Calibri" w:eastAsia="Calibri" w:hAnsi="Calibri"/>
                <w:b/>
                <w:noProof/>
                <w:color w:val="80808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7A0CB52" wp14:editId="7EA4D2E4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71755</wp:posOffset>
                  </wp:positionV>
                  <wp:extent cx="1200150" cy="853440"/>
                  <wp:effectExtent l="0" t="0" r="0" b="3810"/>
                  <wp:wrapThrough wrapText="bothSides">
                    <wp:wrapPolygon edited="0">
                      <wp:start x="0" y="0"/>
                      <wp:lineTo x="0" y="21214"/>
                      <wp:lineTo x="21257" y="21214"/>
                      <wp:lineTo x="21257" y="0"/>
                      <wp:lineTo x="0" y="0"/>
                    </wp:wrapPolygon>
                  </wp:wrapThrough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36C78" w:rsidRPr="008E2866" w:rsidRDefault="00F36C78" w:rsidP="00F36C78">
      <w:pPr>
        <w:pBdr>
          <w:bottom w:val="single" w:sz="4" w:space="1" w:color="auto"/>
        </w:pBdr>
        <w:tabs>
          <w:tab w:val="left" w:pos="706"/>
          <w:tab w:val="center" w:pos="4153"/>
          <w:tab w:val="center" w:pos="4748"/>
          <w:tab w:val="right" w:pos="8306"/>
        </w:tabs>
        <w:spacing w:after="240"/>
        <w:jc w:val="center"/>
        <w:rPr>
          <w:rFonts w:ascii="Calibri" w:hAnsi="Calibri" w:cs="Calibri"/>
          <w:noProof/>
          <w:sz w:val="4"/>
          <w:szCs w:val="4"/>
          <w:lang w:val="bg-BG" w:eastAsia="bg-BG"/>
        </w:rPr>
      </w:pPr>
    </w:p>
    <w:p w:rsidR="00F36C78" w:rsidRPr="00FF2D4B" w:rsidRDefault="00F36C78" w:rsidP="00F36C78">
      <w:pPr>
        <w:pBdr>
          <w:bottom w:val="single" w:sz="4" w:space="1" w:color="auto"/>
        </w:pBdr>
        <w:tabs>
          <w:tab w:val="left" w:pos="706"/>
          <w:tab w:val="center" w:pos="4153"/>
          <w:tab w:val="center" w:pos="4748"/>
          <w:tab w:val="right" w:pos="8306"/>
        </w:tabs>
        <w:jc w:val="center"/>
        <w:rPr>
          <w:noProof/>
          <w:sz w:val="20"/>
          <w:lang w:val="bg-BG" w:eastAsia="bg-BG"/>
        </w:rPr>
      </w:pPr>
      <w:r w:rsidRPr="00FF2D4B">
        <w:rPr>
          <w:rFonts w:ascii="Calibri" w:hAnsi="Calibri" w:cs="Calibri"/>
          <w:noProof/>
          <w:sz w:val="20"/>
          <w:lang w:val="bg-BG" w:eastAsia="bg-BG"/>
        </w:rPr>
        <w:t>МИНИСТЕРСТВО НА ТРУДА И СОЦИАЛНАТА ПОЛИТИКА</w:t>
      </w:r>
    </w:p>
    <w:p w:rsidR="00F36C78" w:rsidRPr="00FF2D4B" w:rsidRDefault="00F36C78" w:rsidP="00F36C78">
      <w:pPr>
        <w:pStyle w:val="Header"/>
        <w:jc w:val="center"/>
        <w:rPr>
          <w:sz w:val="20"/>
          <w:lang w:val="ru-RU"/>
        </w:rPr>
      </w:pPr>
      <w:r w:rsidRPr="00FF2D4B">
        <w:rPr>
          <w:rFonts w:ascii="Calibri" w:hAnsi="Calibri" w:cs="Calibri"/>
          <w:noProof/>
          <w:snapToGrid/>
          <w:sz w:val="20"/>
          <w:lang w:val="bg-BG" w:eastAsia="bg-BG"/>
        </w:rPr>
        <w:t>ИЗПЪЛНИТЕЛНА АГЕНЦИЯ „ОПЕРАТИВНА ПРОГРАМА „НАУКА И ОБРАЗОВАНИЕ ЗА ИНТЕЛИГЕНТЕН РАСТЕЖ“</w:t>
      </w:r>
    </w:p>
    <w:p w:rsidR="00F36C78" w:rsidRDefault="00F36C78">
      <w:pPr>
        <w:rPr>
          <w:lang w:val="bg-BG"/>
        </w:rPr>
      </w:pPr>
    </w:p>
    <w:p w:rsidR="00F36C78" w:rsidRDefault="00F36C78">
      <w:pPr>
        <w:rPr>
          <w:lang w:val="bg-BG"/>
        </w:rPr>
      </w:pPr>
    </w:p>
    <w:p w:rsidR="00530A71" w:rsidRPr="00F36C78" w:rsidRDefault="00F36C78" w:rsidP="00F36C78">
      <w:pPr>
        <w:jc w:val="both"/>
        <w:rPr>
          <w:rStyle w:val="Strong"/>
          <w:szCs w:val="24"/>
          <w:lang w:eastAsia="bg-BG"/>
        </w:rPr>
      </w:pPr>
      <w:r w:rsidRPr="00F36C78">
        <w:rPr>
          <w:rStyle w:val="Strong"/>
          <w:szCs w:val="24"/>
          <w:lang w:eastAsia="bg-BG"/>
        </w:rPr>
        <w:t>Съобщение: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eastAsia="bg-BG"/>
        </w:rPr>
      </w:pPr>
      <w:r w:rsidRPr="00FA14AF">
        <w:rPr>
          <w:rStyle w:val="Strong"/>
          <w:b w:val="0"/>
          <w:szCs w:val="24"/>
          <w:lang w:eastAsia="bg-BG"/>
        </w:rPr>
        <w:t>На 07.03.2019г. ,</w:t>
      </w:r>
      <w:r w:rsidRPr="00F36C78">
        <w:rPr>
          <w:rStyle w:val="Strong"/>
          <w:szCs w:val="24"/>
          <w:lang w:eastAsia="bg-BG"/>
        </w:rPr>
        <w:t xml:space="preserve"> Община Хаджидимово подписа договор за безвъзмездна </w:t>
      </w:r>
      <w:proofErr w:type="spellStart"/>
      <w:r w:rsidRPr="00F36C78">
        <w:rPr>
          <w:rStyle w:val="Strong"/>
          <w:szCs w:val="24"/>
          <w:lang w:eastAsia="bg-BG"/>
        </w:rPr>
        <w:t>финансова</w:t>
      </w:r>
      <w:proofErr w:type="spellEnd"/>
      <w:r w:rsidRPr="00F36C78">
        <w:rPr>
          <w:rStyle w:val="Strong"/>
          <w:szCs w:val="24"/>
          <w:lang w:eastAsia="bg-BG"/>
        </w:rPr>
        <w:t xml:space="preserve"> </w:t>
      </w:r>
      <w:proofErr w:type="spellStart"/>
      <w:r w:rsidRPr="00F36C78">
        <w:rPr>
          <w:rStyle w:val="Strong"/>
          <w:szCs w:val="24"/>
          <w:lang w:eastAsia="bg-BG"/>
        </w:rPr>
        <w:t>помощ</w:t>
      </w:r>
      <w:proofErr w:type="spellEnd"/>
      <w:r w:rsidRPr="00F36C78">
        <w:rPr>
          <w:rStyle w:val="Strong"/>
          <w:szCs w:val="24"/>
          <w:lang w:eastAsia="bg-BG"/>
        </w:rPr>
        <w:t xml:space="preserve"> </w:t>
      </w:r>
      <w:r w:rsidRPr="00FA14AF">
        <w:rPr>
          <w:rStyle w:val="Strong"/>
          <w:b w:val="0"/>
          <w:szCs w:val="24"/>
          <w:lang w:eastAsia="bg-BG"/>
        </w:rPr>
        <w:t xml:space="preserve">№ </w:t>
      </w:r>
      <w:r w:rsidRPr="00FA14AF">
        <w:rPr>
          <w:rStyle w:val="Strong"/>
          <w:b w:val="0"/>
          <w:szCs w:val="24"/>
          <w:lang w:eastAsia="bg-BG"/>
        </w:rPr>
        <w:t>BG05M9OP001-2.018-0019/</w:t>
      </w:r>
      <w:r w:rsidRPr="00FA14AF">
        <w:rPr>
          <w:rStyle w:val="Strong"/>
          <w:b w:val="0"/>
          <w:szCs w:val="24"/>
          <w:lang w:eastAsia="bg-BG"/>
        </w:rPr>
        <w:t>BG05M9OP001-2.018-0019-2014BG05M2OP001-C01</w:t>
      </w:r>
      <w:r w:rsidRPr="00F36C78">
        <w:rPr>
          <w:rStyle w:val="Strong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szCs w:val="24"/>
          <w:lang w:eastAsia="bg-BG"/>
        </w:rPr>
        <w:t>за</w:t>
      </w:r>
      <w:proofErr w:type="spellEnd"/>
      <w:r w:rsidRPr="00FA14AF">
        <w:rPr>
          <w:rStyle w:val="Strong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szCs w:val="24"/>
          <w:lang w:eastAsia="bg-BG"/>
        </w:rPr>
        <w:t>осъществяването</w:t>
      </w:r>
      <w:proofErr w:type="spellEnd"/>
      <w:r w:rsidRPr="00FA14AF">
        <w:rPr>
          <w:rStyle w:val="Strong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szCs w:val="24"/>
          <w:lang w:eastAsia="bg-BG"/>
        </w:rPr>
        <w:t>на</w:t>
      </w:r>
      <w:proofErr w:type="spellEnd"/>
      <w:r w:rsidRPr="00FA14AF">
        <w:rPr>
          <w:rStyle w:val="Strong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szCs w:val="24"/>
          <w:lang w:eastAsia="bg-BG"/>
        </w:rPr>
        <w:t>проект</w:t>
      </w:r>
      <w:proofErr w:type="spellEnd"/>
      <w:r w:rsidRPr="00FA14AF">
        <w:rPr>
          <w:rStyle w:val="Strong"/>
          <w:szCs w:val="24"/>
          <w:lang w:eastAsia="bg-BG"/>
        </w:rPr>
        <w:t xml:space="preserve">: </w:t>
      </w:r>
      <w:r w:rsidRPr="00A70BAF">
        <w:rPr>
          <w:rStyle w:val="Strong"/>
          <w:szCs w:val="24"/>
          <w:lang w:eastAsia="bg-BG"/>
        </w:rPr>
        <w:t>„</w:t>
      </w:r>
      <w:proofErr w:type="spellStart"/>
      <w:r w:rsidRPr="00A70BAF">
        <w:rPr>
          <w:rStyle w:val="Strong"/>
          <w:szCs w:val="24"/>
          <w:lang w:eastAsia="bg-BG"/>
        </w:rPr>
        <w:t>Успешни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мерки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за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интегриране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на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уязвими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групи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на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територията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на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община</w:t>
      </w:r>
      <w:proofErr w:type="spellEnd"/>
      <w:r w:rsidRPr="00F36C78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Хаджидимово</w:t>
      </w:r>
      <w:proofErr w:type="spellEnd"/>
      <w:r w:rsidRPr="00A70BAF">
        <w:rPr>
          <w:rStyle w:val="Strong"/>
          <w:szCs w:val="24"/>
          <w:lang w:eastAsia="bg-BG"/>
        </w:rPr>
        <w:t>“</w:t>
      </w:r>
      <w:r w:rsidRPr="00F36C78">
        <w:rPr>
          <w:rStyle w:val="Strong"/>
          <w:szCs w:val="24"/>
          <w:lang w:eastAsia="bg-BG"/>
        </w:rPr>
        <w:t xml:space="preserve">, </w:t>
      </w:r>
      <w:proofErr w:type="spellStart"/>
      <w:r w:rsidRPr="00FA14AF">
        <w:rPr>
          <w:rStyle w:val="Strong"/>
          <w:b w:val="0"/>
          <w:szCs w:val="24"/>
          <w:lang w:eastAsia="bg-BG"/>
        </w:rPr>
        <w:t>по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процедура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r w:rsidRPr="00FA14AF">
        <w:rPr>
          <w:rStyle w:val="Strong"/>
          <w:b w:val="0"/>
          <w:szCs w:val="24"/>
          <w:lang w:eastAsia="bg-BG"/>
        </w:rPr>
        <w:t>BG05M9OP001-2.018 „</w:t>
      </w:r>
      <w:proofErr w:type="spellStart"/>
      <w:r w:rsidRPr="00FA14AF">
        <w:rPr>
          <w:rStyle w:val="Strong"/>
          <w:b w:val="0"/>
          <w:szCs w:val="24"/>
          <w:lang w:eastAsia="bg-BG"/>
        </w:rPr>
        <w:t>Социално-икономическ</w:t>
      </w:r>
      <w:r w:rsidRPr="00FA14AF">
        <w:rPr>
          <w:rStyle w:val="Strong"/>
          <w:b w:val="0"/>
          <w:szCs w:val="24"/>
          <w:lang w:eastAsia="bg-BG"/>
        </w:rPr>
        <w:t>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интеграция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уязвими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групи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. </w:t>
      </w:r>
      <w:proofErr w:type="spellStart"/>
      <w:r w:rsidRPr="00FA14AF">
        <w:rPr>
          <w:rStyle w:val="Strong"/>
          <w:b w:val="0"/>
          <w:szCs w:val="24"/>
          <w:lang w:eastAsia="bg-BG"/>
        </w:rPr>
        <w:t>И</w:t>
      </w:r>
      <w:r w:rsidRPr="00FA14AF">
        <w:rPr>
          <w:rStyle w:val="Strong"/>
          <w:b w:val="0"/>
          <w:szCs w:val="24"/>
          <w:lang w:eastAsia="bg-BG"/>
        </w:rPr>
        <w:t>нтегрирани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мерки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за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подобряване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достъпа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до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образование</w:t>
      </w:r>
      <w:proofErr w:type="spellEnd"/>
      <w:proofErr w:type="gramStart"/>
      <w:r w:rsidRPr="00FA14AF">
        <w:rPr>
          <w:rStyle w:val="Strong"/>
          <w:b w:val="0"/>
          <w:szCs w:val="24"/>
          <w:lang w:eastAsia="bg-BG"/>
        </w:rPr>
        <w:t>“ –</w:t>
      </w:r>
      <w:proofErr w:type="gram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Компонент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1, </w:t>
      </w:r>
      <w:proofErr w:type="spellStart"/>
      <w:r w:rsidRPr="00FA14AF">
        <w:rPr>
          <w:rStyle w:val="Strong"/>
          <w:b w:val="0"/>
          <w:szCs w:val="24"/>
          <w:lang w:eastAsia="bg-BG"/>
        </w:rPr>
        <w:t>по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оперативна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програма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r w:rsidRPr="00FA14AF">
        <w:rPr>
          <w:rStyle w:val="Strong"/>
          <w:b w:val="0"/>
          <w:szCs w:val="24"/>
          <w:lang w:eastAsia="bg-BG"/>
        </w:rPr>
        <w:t>„</w:t>
      </w:r>
      <w:proofErr w:type="spellStart"/>
      <w:r w:rsidRPr="00FA14AF">
        <w:rPr>
          <w:rStyle w:val="Strong"/>
          <w:b w:val="0"/>
          <w:szCs w:val="24"/>
          <w:lang w:eastAsia="bg-BG"/>
        </w:rPr>
        <w:t>Развитие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човешките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ресурси</w:t>
      </w:r>
      <w:proofErr w:type="spellEnd"/>
      <w:r w:rsidRPr="00FA14AF">
        <w:rPr>
          <w:rStyle w:val="Strong"/>
          <w:b w:val="0"/>
          <w:szCs w:val="24"/>
          <w:lang w:eastAsia="bg-BG"/>
        </w:rPr>
        <w:t>“</w:t>
      </w:r>
      <w:r w:rsidRPr="00FA14AF">
        <w:rPr>
          <w:rStyle w:val="Strong"/>
          <w:b w:val="0"/>
          <w:szCs w:val="24"/>
          <w:lang w:eastAsia="bg-BG"/>
        </w:rPr>
        <w:t xml:space="preserve"> и </w:t>
      </w:r>
      <w:proofErr w:type="spellStart"/>
      <w:r w:rsidRPr="00FA14AF">
        <w:rPr>
          <w:rStyle w:val="Strong"/>
          <w:b w:val="0"/>
          <w:szCs w:val="24"/>
          <w:lang w:eastAsia="bg-BG"/>
        </w:rPr>
        <w:t>оперативна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програма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r w:rsidRPr="00FA14AF">
        <w:rPr>
          <w:rStyle w:val="Strong"/>
          <w:b w:val="0"/>
          <w:szCs w:val="24"/>
          <w:lang w:val="bg-BG" w:eastAsia="bg-BG"/>
        </w:rPr>
        <w:t>„</w:t>
      </w:r>
      <w:proofErr w:type="spellStart"/>
      <w:r w:rsidRPr="00FA14AF">
        <w:rPr>
          <w:rStyle w:val="Strong"/>
          <w:b w:val="0"/>
          <w:szCs w:val="24"/>
          <w:lang w:eastAsia="bg-BG"/>
        </w:rPr>
        <w:t>Наука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и </w:t>
      </w:r>
      <w:proofErr w:type="spellStart"/>
      <w:r w:rsidRPr="00FA14AF">
        <w:rPr>
          <w:rStyle w:val="Strong"/>
          <w:b w:val="0"/>
          <w:szCs w:val="24"/>
          <w:lang w:eastAsia="bg-BG"/>
        </w:rPr>
        <w:t>образование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за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интелигентен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растеж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>“</w:t>
      </w:r>
      <w:r w:rsidRPr="00FA14AF">
        <w:rPr>
          <w:rStyle w:val="Strong"/>
          <w:b w:val="0"/>
          <w:szCs w:val="24"/>
          <w:lang w:eastAsia="bg-BG"/>
        </w:rPr>
        <w:t>.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eastAsia="bg-BG"/>
        </w:rPr>
      </w:pPr>
      <w:proofErr w:type="spellStart"/>
      <w:r w:rsidRPr="00FA14AF">
        <w:rPr>
          <w:rStyle w:val="Strong"/>
          <w:b w:val="0"/>
          <w:szCs w:val="24"/>
          <w:lang w:eastAsia="bg-BG"/>
        </w:rPr>
        <w:t>Проект</w:t>
      </w:r>
      <w:r w:rsidRPr="00FA14AF">
        <w:rPr>
          <w:rStyle w:val="Strong"/>
          <w:b w:val="0"/>
          <w:szCs w:val="24"/>
          <w:lang w:val="bg-BG" w:eastAsia="bg-BG"/>
        </w:rPr>
        <w:t>ът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е в </w:t>
      </w:r>
      <w:proofErr w:type="spellStart"/>
      <w:r w:rsidRPr="00FA14AF">
        <w:rPr>
          <w:rStyle w:val="Strong"/>
          <w:b w:val="0"/>
          <w:szCs w:val="24"/>
          <w:lang w:eastAsia="bg-BG"/>
        </w:rPr>
        <w:t>изпълнение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общинския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план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за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интеграционните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политики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и</w:t>
      </w:r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r w:rsidRPr="00FA14AF">
        <w:rPr>
          <w:rStyle w:val="Strong"/>
          <w:b w:val="0"/>
          <w:szCs w:val="24"/>
          <w:lang w:eastAsia="bg-BG"/>
        </w:rPr>
        <w:t xml:space="preserve">е </w:t>
      </w:r>
      <w:proofErr w:type="spellStart"/>
      <w:r w:rsidRPr="00FA14AF">
        <w:rPr>
          <w:rStyle w:val="Strong"/>
          <w:b w:val="0"/>
          <w:szCs w:val="24"/>
          <w:lang w:eastAsia="bg-BG"/>
        </w:rPr>
        <w:t>свързан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с </w:t>
      </w:r>
      <w:proofErr w:type="spellStart"/>
      <w:r w:rsidRPr="00FA14AF">
        <w:rPr>
          <w:rStyle w:val="Strong"/>
          <w:b w:val="0"/>
          <w:szCs w:val="24"/>
          <w:lang w:eastAsia="bg-BG"/>
        </w:rPr>
        <w:t>главните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стратегически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цели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държавните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политики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отношение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маргинализираните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групи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- </w:t>
      </w:r>
      <w:proofErr w:type="spellStart"/>
      <w:r w:rsidRPr="00FA14AF">
        <w:rPr>
          <w:rStyle w:val="Strong"/>
          <w:b w:val="0"/>
          <w:szCs w:val="24"/>
          <w:lang w:eastAsia="bg-BG"/>
        </w:rPr>
        <w:t>подобряване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жизнения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стандарт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чрез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включването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им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в</w:t>
      </w:r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пазара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труда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, </w:t>
      </w:r>
      <w:proofErr w:type="spellStart"/>
      <w:r w:rsidRPr="00FA14AF">
        <w:rPr>
          <w:rStyle w:val="Strong"/>
          <w:b w:val="0"/>
          <w:szCs w:val="24"/>
          <w:lang w:eastAsia="bg-BG"/>
        </w:rPr>
        <w:t>мерки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повишаващи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здравната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култура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, </w:t>
      </w:r>
      <w:proofErr w:type="spellStart"/>
      <w:r w:rsidRPr="00FA14AF">
        <w:rPr>
          <w:rStyle w:val="Strong"/>
          <w:b w:val="0"/>
          <w:szCs w:val="24"/>
          <w:lang w:eastAsia="bg-BG"/>
        </w:rPr>
        <w:t>приобщаващо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образование</w:t>
      </w:r>
      <w:proofErr w:type="spellEnd"/>
      <w:r w:rsidRPr="00FA14AF">
        <w:rPr>
          <w:rStyle w:val="Strong"/>
          <w:b w:val="0"/>
          <w:szCs w:val="24"/>
          <w:lang w:eastAsia="bg-BG"/>
        </w:rPr>
        <w:t>,</w:t>
      </w:r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преодоляване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изолацията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им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чрез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активно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социално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поведение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и </w:t>
      </w:r>
      <w:proofErr w:type="spellStart"/>
      <w:r w:rsidRPr="00FA14AF">
        <w:rPr>
          <w:rStyle w:val="Strong"/>
          <w:b w:val="0"/>
          <w:szCs w:val="24"/>
          <w:lang w:eastAsia="bg-BG"/>
        </w:rPr>
        <w:t>проява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толерантност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страна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гражданското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общество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, </w:t>
      </w:r>
      <w:proofErr w:type="spellStart"/>
      <w:r w:rsidRPr="00FA14AF">
        <w:rPr>
          <w:rStyle w:val="Strong"/>
          <w:b w:val="0"/>
          <w:szCs w:val="24"/>
          <w:lang w:eastAsia="bg-BG"/>
        </w:rPr>
        <w:t>като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този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начин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пряко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кореспондират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с </w:t>
      </w:r>
      <w:proofErr w:type="spellStart"/>
      <w:r w:rsidRPr="00FA14AF">
        <w:rPr>
          <w:rStyle w:val="Strong"/>
          <w:b w:val="0"/>
          <w:szCs w:val="24"/>
          <w:lang w:eastAsia="bg-BG"/>
        </w:rPr>
        <w:t>приоритетите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ОПРЧР и ОПНОИР.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eastAsia="bg-BG"/>
        </w:rPr>
      </w:pPr>
      <w:proofErr w:type="spellStart"/>
      <w:r w:rsidRPr="00FA14AF">
        <w:rPr>
          <w:rStyle w:val="Strong"/>
          <w:b w:val="0"/>
          <w:szCs w:val="24"/>
          <w:lang w:eastAsia="bg-BG"/>
        </w:rPr>
        <w:t>Предвидените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дейности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ОПРЧР </w:t>
      </w:r>
      <w:proofErr w:type="spellStart"/>
      <w:r w:rsidRPr="00FA14AF">
        <w:rPr>
          <w:rStyle w:val="Strong"/>
          <w:b w:val="0"/>
          <w:szCs w:val="24"/>
          <w:lang w:eastAsia="bg-BG"/>
        </w:rPr>
        <w:t>са</w:t>
      </w:r>
      <w:proofErr w:type="spellEnd"/>
      <w:r w:rsidRPr="00FA14AF">
        <w:rPr>
          <w:rStyle w:val="Strong"/>
          <w:b w:val="0"/>
          <w:szCs w:val="24"/>
          <w:lang w:eastAsia="bg-BG"/>
        </w:rPr>
        <w:t>: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szCs w:val="24"/>
          <w:lang w:eastAsia="bg-BG"/>
        </w:rPr>
        <w:t xml:space="preserve">- </w:t>
      </w:r>
      <w:proofErr w:type="spellStart"/>
      <w:proofErr w:type="gramStart"/>
      <w:r w:rsidRPr="00FA14AF">
        <w:rPr>
          <w:rStyle w:val="Strong"/>
          <w:b w:val="0"/>
          <w:szCs w:val="24"/>
          <w:lang w:eastAsia="bg-BG"/>
        </w:rPr>
        <w:t>направление</w:t>
      </w:r>
      <w:proofErr w:type="spellEnd"/>
      <w:proofErr w:type="gramEnd"/>
      <w:r w:rsidRPr="00FA14AF">
        <w:rPr>
          <w:rStyle w:val="Strong"/>
          <w:b w:val="0"/>
          <w:szCs w:val="24"/>
          <w:lang w:eastAsia="bg-BG"/>
        </w:rPr>
        <w:t xml:space="preserve"> I „</w:t>
      </w:r>
      <w:proofErr w:type="spellStart"/>
      <w:r w:rsidRPr="00FA14AF">
        <w:rPr>
          <w:rStyle w:val="Strong"/>
          <w:b w:val="0"/>
          <w:szCs w:val="24"/>
          <w:lang w:eastAsia="bg-BG"/>
        </w:rPr>
        <w:t>Подобряване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достъпа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до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заетост</w:t>
      </w:r>
      <w:proofErr w:type="spellEnd"/>
      <w:r w:rsidRPr="00FA14AF">
        <w:rPr>
          <w:rStyle w:val="Strong"/>
          <w:b w:val="0"/>
          <w:szCs w:val="24"/>
          <w:lang w:eastAsia="bg-BG"/>
        </w:rPr>
        <w:t>“</w:t>
      </w:r>
      <w:r w:rsidRPr="00FA14AF">
        <w:rPr>
          <w:rStyle w:val="Strong"/>
          <w:b w:val="0"/>
          <w:szCs w:val="24"/>
          <w:lang w:val="bg-BG" w:eastAsia="bg-BG"/>
        </w:rPr>
        <w:t>;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szCs w:val="24"/>
          <w:lang w:eastAsia="bg-BG"/>
        </w:rPr>
        <w:t xml:space="preserve">- </w:t>
      </w:r>
      <w:proofErr w:type="spellStart"/>
      <w:proofErr w:type="gramStart"/>
      <w:r w:rsidRPr="00FA14AF">
        <w:rPr>
          <w:rStyle w:val="Strong"/>
          <w:b w:val="0"/>
          <w:szCs w:val="24"/>
          <w:lang w:eastAsia="bg-BG"/>
        </w:rPr>
        <w:t>направление</w:t>
      </w:r>
      <w:proofErr w:type="spellEnd"/>
      <w:proofErr w:type="gramEnd"/>
      <w:r w:rsidRPr="00FA14AF">
        <w:rPr>
          <w:rStyle w:val="Strong"/>
          <w:b w:val="0"/>
          <w:szCs w:val="24"/>
          <w:lang w:eastAsia="bg-BG"/>
        </w:rPr>
        <w:t xml:space="preserve"> II „</w:t>
      </w:r>
      <w:proofErr w:type="spellStart"/>
      <w:r w:rsidRPr="00FA14AF">
        <w:rPr>
          <w:rStyle w:val="Strong"/>
          <w:b w:val="0"/>
          <w:szCs w:val="24"/>
          <w:lang w:eastAsia="bg-BG"/>
        </w:rPr>
        <w:t>Подобряване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достъпа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до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образование</w:t>
      </w:r>
      <w:proofErr w:type="spellEnd"/>
      <w:r w:rsidRPr="00FA14AF">
        <w:rPr>
          <w:rStyle w:val="Strong"/>
          <w:b w:val="0"/>
          <w:szCs w:val="24"/>
          <w:lang w:eastAsia="bg-BG"/>
        </w:rPr>
        <w:t>“</w:t>
      </w:r>
      <w:r w:rsidRPr="00FA14AF">
        <w:rPr>
          <w:rStyle w:val="Strong"/>
          <w:b w:val="0"/>
          <w:szCs w:val="24"/>
          <w:lang w:val="bg-BG" w:eastAsia="bg-BG"/>
        </w:rPr>
        <w:t>;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szCs w:val="24"/>
          <w:lang w:eastAsia="bg-BG"/>
        </w:rPr>
        <w:t xml:space="preserve">- </w:t>
      </w:r>
      <w:proofErr w:type="spellStart"/>
      <w:proofErr w:type="gramStart"/>
      <w:r w:rsidRPr="00FA14AF">
        <w:rPr>
          <w:rStyle w:val="Strong"/>
          <w:b w:val="0"/>
          <w:szCs w:val="24"/>
          <w:lang w:eastAsia="bg-BG"/>
        </w:rPr>
        <w:t>направление</w:t>
      </w:r>
      <w:proofErr w:type="spellEnd"/>
      <w:proofErr w:type="gramEnd"/>
      <w:r w:rsidRPr="00FA14AF">
        <w:rPr>
          <w:rStyle w:val="Strong"/>
          <w:b w:val="0"/>
          <w:szCs w:val="24"/>
          <w:lang w:eastAsia="bg-BG"/>
        </w:rPr>
        <w:t xml:space="preserve"> III „</w:t>
      </w:r>
      <w:proofErr w:type="spellStart"/>
      <w:r w:rsidRPr="00FA14AF">
        <w:rPr>
          <w:rStyle w:val="Strong"/>
          <w:b w:val="0"/>
          <w:szCs w:val="24"/>
          <w:lang w:eastAsia="bg-BG"/>
        </w:rPr>
        <w:t>Подобряване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достъпа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до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социални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и </w:t>
      </w:r>
      <w:proofErr w:type="spellStart"/>
      <w:r w:rsidRPr="00FA14AF">
        <w:rPr>
          <w:rStyle w:val="Strong"/>
          <w:b w:val="0"/>
          <w:szCs w:val="24"/>
          <w:lang w:eastAsia="bg-BG"/>
        </w:rPr>
        <w:t>здравни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услуги</w:t>
      </w:r>
      <w:proofErr w:type="spellEnd"/>
      <w:r w:rsidRPr="00FA14AF">
        <w:rPr>
          <w:rStyle w:val="Strong"/>
          <w:b w:val="0"/>
          <w:szCs w:val="24"/>
          <w:lang w:eastAsia="bg-BG"/>
        </w:rPr>
        <w:t>”</w:t>
      </w:r>
      <w:r w:rsidRPr="00FA14AF">
        <w:rPr>
          <w:rStyle w:val="Strong"/>
          <w:b w:val="0"/>
          <w:szCs w:val="24"/>
          <w:lang w:val="bg-BG" w:eastAsia="bg-BG"/>
        </w:rPr>
        <w:t>;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szCs w:val="24"/>
          <w:lang w:eastAsia="bg-BG"/>
        </w:rPr>
        <w:t xml:space="preserve">- </w:t>
      </w:r>
      <w:proofErr w:type="spellStart"/>
      <w:proofErr w:type="gramStart"/>
      <w:r w:rsidRPr="00FA14AF">
        <w:rPr>
          <w:rStyle w:val="Strong"/>
          <w:b w:val="0"/>
          <w:szCs w:val="24"/>
          <w:lang w:eastAsia="bg-BG"/>
        </w:rPr>
        <w:t>направление</w:t>
      </w:r>
      <w:proofErr w:type="spellEnd"/>
      <w:proofErr w:type="gramEnd"/>
      <w:r w:rsidRPr="00FA14AF">
        <w:rPr>
          <w:rStyle w:val="Strong"/>
          <w:b w:val="0"/>
          <w:szCs w:val="24"/>
          <w:lang w:eastAsia="bg-BG"/>
        </w:rPr>
        <w:t xml:space="preserve"> IV „</w:t>
      </w:r>
      <w:proofErr w:type="spellStart"/>
      <w:r w:rsidRPr="00FA14AF">
        <w:rPr>
          <w:rStyle w:val="Strong"/>
          <w:b w:val="0"/>
          <w:szCs w:val="24"/>
          <w:lang w:eastAsia="bg-BG"/>
        </w:rPr>
        <w:t>Развитие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местните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общности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и </w:t>
      </w:r>
      <w:proofErr w:type="spellStart"/>
      <w:r w:rsidRPr="00FA14AF">
        <w:rPr>
          <w:rStyle w:val="Strong"/>
          <w:b w:val="0"/>
          <w:szCs w:val="24"/>
          <w:lang w:eastAsia="bg-BG"/>
        </w:rPr>
        <w:t>преодоляване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негативните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стереотипи</w:t>
      </w:r>
      <w:proofErr w:type="spellEnd"/>
      <w:r w:rsidRPr="00FA14AF">
        <w:rPr>
          <w:rStyle w:val="Strong"/>
          <w:b w:val="0"/>
          <w:szCs w:val="24"/>
          <w:lang w:eastAsia="bg-BG"/>
        </w:rPr>
        <w:t>“</w:t>
      </w:r>
      <w:r w:rsidRPr="00FA14AF">
        <w:rPr>
          <w:rStyle w:val="Strong"/>
          <w:b w:val="0"/>
          <w:szCs w:val="24"/>
          <w:lang w:val="bg-BG" w:eastAsia="bg-BG"/>
        </w:rPr>
        <w:t>.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eastAsia="bg-BG"/>
        </w:rPr>
      </w:pPr>
      <w:proofErr w:type="spellStart"/>
      <w:r w:rsidRPr="00FA14AF">
        <w:rPr>
          <w:rStyle w:val="Strong"/>
          <w:b w:val="0"/>
          <w:szCs w:val="24"/>
          <w:lang w:eastAsia="bg-BG"/>
        </w:rPr>
        <w:t>Предвидените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дейности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ОПНОИР </w:t>
      </w:r>
      <w:proofErr w:type="spellStart"/>
      <w:r w:rsidRPr="00FA14AF">
        <w:rPr>
          <w:rStyle w:val="Strong"/>
          <w:b w:val="0"/>
          <w:szCs w:val="24"/>
          <w:lang w:eastAsia="bg-BG"/>
        </w:rPr>
        <w:t>са</w:t>
      </w:r>
      <w:proofErr w:type="spellEnd"/>
      <w:r w:rsidRPr="00FA14AF">
        <w:rPr>
          <w:rStyle w:val="Strong"/>
          <w:b w:val="0"/>
          <w:szCs w:val="24"/>
          <w:lang w:eastAsia="bg-BG"/>
        </w:rPr>
        <w:t>: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eastAsia="bg-BG"/>
        </w:rPr>
      </w:pPr>
      <w:r w:rsidRPr="00FA14AF">
        <w:rPr>
          <w:rStyle w:val="Strong"/>
          <w:b w:val="0"/>
          <w:szCs w:val="24"/>
          <w:lang w:eastAsia="bg-BG"/>
        </w:rPr>
        <w:t xml:space="preserve">- </w:t>
      </w:r>
      <w:proofErr w:type="spellStart"/>
      <w:proofErr w:type="gramStart"/>
      <w:r w:rsidRPr="00FA14AF">
        <w:rPr>
          <w:rStyle w:val="Strong"/>
          <w:b w:val="0"/>
          <w:szCs w:val="24"/>
          <w:lang w:eastAsia="bg-BG"/>
        </w:rPr>
        <w:t>допълнително</w:t>
      </w:r>
      <w:proofErr w:type="spellEnd"/>
      <w:proofErr w:type="gram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обучение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български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език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за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децата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, </w:t>
      </w:r>
      <w:proofErr w:type="spellStart"/>
      <w:r w:rsidRPr="00FA14AF">
        <w:rPr>
          <w:rStyle w:val="Strong"/>
          <w:b w:val="0"/>
          <w:szCs w:val="24"/>
          <w:lang w:eastAsia="bg-BG"/>
        </w:rPr>
        <w:t>за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които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българският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език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е</w:t>
      </w:r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майчин</w:t>
      </w:r>
      <w:proofErr w:type="spellEnd"/>
      <w:r w:rsidRPr="00FA14AF">
        <w:rPr>
          <w:rStyle w:val="Strong"/>
          <w:b w:val="0"/>
          <w:szCs w:val="24"/>
          <w:lang w:eastAsia="bg-BG"/>
        </w:rPr>
        <w:t>;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szCs w:val="24"/>
          <w:lang w:eastAsia="bg-BG"/>
        </w:rPr>
        <w:t xml:space="preserve">- </w:t>
      </w:r>
      <w:proofErr w:type="spellStart"/>
      <w:proofErr w:type="gramStart"/>
      <w:r w:rsidRPr="00FA14AF">
        <w:rPr>
          <w:rStyle w:val="Strong"/>
          <w:b w:val="0"/>
          <w:szCs w:val="24"/>
          <w:lang w:eastAsia="bg-BG"/>
        </w:rPr>
        <w:t>осигуряване</w:t>
      </w:r>
      <w:proofErr w:type="spellEnd"/>
      <w:proofErr w:type="gram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психологическа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подкрепа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за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учениците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в ДГ "</w:t>
      </w:r>
      <w:proofErr w:type="spellStart"/>
      <w:r w:rsidRPr="00FA14AF">
        <w:rPr>
          <w:rStyle w:val="Strong"/>
          <w:b w:val="0"/>
          <w:szCs w:val="24"/>
          <w:lang w:eastAsia="bg-BG"/>
        </w:rPr>
        <w:t>Надежда</w:t>
      </w:r>
      <w:proofErr w:type="spellEnd"/>
      <w:r w:rsidRPr="00FA14AF">
        <w:rPr>
          <w:rStyle w:val="Strong"/>
          <w:b w:val="0"/>
          <w:szCs w:val="24"/>
          <w:lang w:eastAsia="bg-BG"/>
        </w:rPr>
        <w:t>"</w:t>
      </w:r>
      <w:r w:rsidRPr="00FA14AF">
        <w:rPr>
          <w:rStyle w:val="Strong"/>
          <w:b w:val="0"/>
          <w:szCs w:val="24"/>
          <w:lang w:val="bg-BG" w:eastAsia="bg-BG"/>
        </w:rPr>
        <w:t>;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szCs w:val="24"/>
          <w:lang w:eastAsia="bg-BG"/>
        </w:rPr>
        <w:t xml:space="preserve">- </w:t>
      </w:r>
      <w:proofErr w:type="spellStart"/>
      <w:proofErr w:type="gramStart"/>
      <w:r w:rsidRPr="00FA14AF">
        <w:rPr>
          <w:rStyle w:val="Strong"/>
          <w:b w:val="0"/>
          <w:szCs w:val="24"/>
          <w:lang w:eastAsia="bg-BG"/>
        </w:rPr>
        <w:t>насърчаване</w:t>
      </w:r>
      <w:proofErr w:type="spellEnd"/>
      <w:proofErr w:type="gram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участието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родителите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във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възпитателния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процес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r w:rsidRPr="00FA14AF">
        <w:rPr>
          <w:rStyle w:val="Strong"/>
          <w:b w:val="0"/>
          <w:szCs w:val="24"/>
          <w:lang w:eastAsia="bg-BG"/>
        </w:rPr>
        <w:t xml:space="preserve">- </w:t>
      </w:r>
      <w:proofErr w:type="spellStart"/>
      <w:r w:rsidRPr="00FA14AF">
        <w:rPr>
          <w:rStyle w:val="Strong"/>
          <w:b w:val="0"/>
          <w:szCs w:val="24"/>
          <w:lang w:eastAsia="bg-BG"/>
        </w:rPr>
        <w:t>работа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с </w:t>
      </w:r>
      <w:proofErr w:type="spellStart"/>
      <w:r w:rsidRPr="00FA14AF">
        <w:rPr>
          <w:rStyle w:val="Strong"/>
          <w:b w:val="0"/>
          <w:szCs w:val="24"/>
          <w:lang w:eastAsia="bg-BG"/>
        </w:rPr>
        <w:t>родители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без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разлика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етническия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им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произход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за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разясняване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ползите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от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образователната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интеграция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и </w:t>
      </w:r>
      <w:proofErr w:type="spellStart"/>
      <w:r w:rsidRPr="00FA14AF">
        <w:rPr>
          <w:rStyle w:val="Strong"/>
          <w:b w:val="0"/>
          <w:szCs w:val="24"/>
          <w:lang w:eastAsia="bg-BG"/>
        </w:rPr>
        <w:t>приемането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различието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>;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eastAsia="bg-BG"/>
        </w:rPr>
      </w:pPr>
      <w:r w:rsidRPr="00FA14AF">
        <w:rPr>
          <w:rStyle w:val="Strong"/>
          <w:b w:val="0"/>
          <w:szCs w:val="24"/>
          <w:lang w:eastAsia="bg-BG"/>
        </w:rPr>
        <w:t xml:space="preserve">- </w:t>
      </w:r>
      <w:proofErr w:type="spellStart"/>
      <w:proofErr w:type="gramStart"/>
      <w:r w:rsidRPr="00FA14AF">
        <w:rPr>
          <w:rStyle w:val="Strong"/>
          <w:b w:val="0"/>
          <w:szCs w:val="24"/>
          <w:lang w:eastAsia="bg-BG"/>
        </w:rPr>
        <w:t>преодоляване</w:t>
      </w:r>
      <w:proofErr w:type="spellEnd"/>
      <w:proofErr w:type="gram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негативни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обществени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нагласи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, </w:t>
      </w:r>
      <w:proofErr w:type="spellStart"/>
      <w:r w:rsidRPr="00FA14AF">
        <w:rPr>
          <w:rStyle w:val="Strong"/>
          <w:b w:val="0"/>
          <w:szCs w:val="24"/>
          <w:lang w:eastAsia="bg-BG"/>
        </w:rPr>
        <w:t>основани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етнически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произход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и</w:t>
      </w:r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културна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идентичност</w:t>
      </w:r>
      <w:proofErr w:type="spellEnd"/>
      <w:r w:rsidRPr="00FA14AF">
        <w:rPr>
          <w:rStyle w:val="Strong"/>
          <w:b w:val="0"/>
          <w:szCs w:val="24"/>
          <w:lang w:eastAsia="bg-BG"/>
        </w:rPr>
        <w:t>.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eastAsia="bg-BG"/>
        </w:rPr>
      </w:pPr>
      <w:proofErr w:type="spellStart"/>
      <w:r w:rsidRPr="00FA14AF">
        <w:rPr>
          <w:rStyle w:val="Strong"/>
          <w:b w:val="0"/>
          <w:szCs w:val="24"/>
          <w:lang w:eastAsia="bg-BG"/>
        </w:rPr>
        <w:lastRenderedPageBreak/>
        <w:t>Проектът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е </w:t>
      </w:r>
      <w:proofErr w:type="spellStart"/>
      <w:r w:rsidRPr="00FA14AF">
        <w:rPr>
          <w:rStyle w:val="Strong"/>
          <w:b w:val="0"/>
          <w:szCs w:val="24"/>
          <w:lang w:eastAsia="bg-BG"/>
        </w:rPr>
        <w:t>съобразен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с </w:t>
      </w:r>
      <w:proofErr w:type="spellStart"/>
      <w:r w:rsidRPr="00FA14AF">
        <w:rPr>
          <w:rStyle w:val="Strong"/>
          <w:b w:val="0"/>
          <w:szCs w:val="24"/>
          <w:lang w:eastAsia="bg-BG"/>
        </w:rPr>
        <w:t>основната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визия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в </w:t>
      </w:r>
      <w:proofErr w:type="spellStart"/>
      <w:r w:rsidRPr="00FA14AF">
        <w:rPr>
          <w:rStyle w:val="Strong"/>
          <w:b w:val="0"/>
          <w:szCs w:val="24"/>
          <w:lang w:eastAsia="bg-BG"/>
        </w:rPr>
        <w:t>политиката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община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Хаджидимово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за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подобряване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жизнената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среда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и </w:t>
      </w:r>
      <w:proofErr w:type="spellStart"/>
      <w:r w:rsidRPr="00FA14AF">
        <w:rPr>
          <w:rStyle w:val="Strong"/>
          <w:b w:val="0"/>
          <w:szCs w:val="24"/>
          <w:lang w:eastAsia="bg-BG"/>
        </w:rPr>
        <w:t>повишаване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европейското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самочувствие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гражданите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и </w:t>
      </w:r>
      <w:proofErr w:type="spellStart"/>
      <w:r w:rsidRPr="00FA14AF">
        <w:rPr>
          <w:rStyle w:val="Strong"/>
          <w:b w:val="0"/>
          <w:szCs w:val="24"/>
          <w:lang w:eastAsia="bg-BG"/>
        </w:rPr>
        <w:t>изпълнението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му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е </w:t>
      </w:r>
      <w:proofErr w:type="spellStart"/>
      <w:r w:rsidRPr="00FA14AF">
        <w:rPr>
          <w:rStyle w:val="Strong"/>
          <w:b w:val="0"/>
          <w:szCs w:val="24"/>
          <w:lang w:eastAsia="bg-BG"/>
        </w:rPr>
        <w:t>насочено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към</w:t>
      </w:r>
      <w:proofErr w:type="spellEnd"/>
      <w:r w:rsidRPr="00FA14AF">
        <w:rPr>
          <w:rStyle w:val="Strong"/>
          <w:b w:val="0"/>
          <w:szCs w:val="24"/>
          <w:lang w:eastAsia="bg-BG"/>
        </w:rPr>
        <w:t>: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szCs w:val="24"/>
          <w:lang w:eastAsia="bg-BG"/>
        </w:rPr>
        <w:t xml:space="preserve">• </w:t>
      </w:r>
      <w:proofErr w:type="spellStart"/>
      <w:r w:rsidRPr="00FA14AF">
        <w:rPr>
          <w:rStyle w:val="Strong"/>
          <w:b w:val="0"/>
          <w:szCs w:val="24"/>
          <w:lang w:eastAsia="bg-BG"/>
        </w:rPr>
        <w:t>Създаване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структури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за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активизиране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ромската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общност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>;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szCs w:val="24"/>
          <w:lang w:eastAsia="bg-BG"/>
        </w:rPr>
        <w:t xml:space="preserve">• </w:t>
      </w:r>
      <w:proofErr w:type="spellStart"/>
      <w:r w:rsidRPr="00FA14AF">
        <w:rPr>
          <w:rStyle w:val="Strong"/>
          <w:b w:val="0"/>
          <w:szCs w:val="24"/>
          <w:lang w:eastAsia="bg-BG"/>
        </w:rPr>
        <w:t>Подобряване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адаптивността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и </w:t>
      </w:r>
      <w:proofErr w:type="spellStart"/>
      <w:r w:rsidRPr="00FA14AF">
        <w:rPr>
          <w:rStyle w:val="Strong"/>
          <w:b w:val="0"/>
          <w:szCs w:val="24"/>
          <w:lang w:eastAsia="bg-BG"/>
        </w:rPr>
        <w:t>качеството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живот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целевите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групи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, </w:t>
      </w:r>
      <w:proofErr w:type="spellStart"/>
      <w:r w:rsidRPr="00FA14AF">
        <w:rPr>
          <w:rStyle w:val="Strong"/>
          <w:b w:val="0"/>
          <w:szCs w:val="24"/>
          <w:lang w:eastAsia="bg-BG"/>
        </w:rPr>
        <w:t>нуждаещи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се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социална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подкрепа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>;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szCs w:val="24"/>
          <w:lang w:eastAsia="bg-BG"/>
        </w:rPr>
        <w:t xml:space="preserve">• </w:t>
      </w:r>
      <w:proofErr w:type="spellStart"/>
      <w:r w:rsidRPr="00FA14AF">
        <w:rPr>
          <w:rStyle w:val="Strong"/>
          <w:b w:val="0"/>
          <w:szCs w:val="24"/>
          <w:lang w:eastAsia="bg-BG"/>
        </w:rPr>
        <w:t>Преодоляване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изолацията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маргинализираните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групи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и </w:t>
      </w:r>
      <w:proofErr w:type="spellStart"/>
      <w:r w:rsidRPr="00FA14AF">
        <w:rPr>
          <w:rStyle w:val="Strong"/>
          <w:b w:val="0"/>
          <w:szCs w:val="24"/>
          <w:lang w:eastAsia="bg-BG"/>
        </w:rPr>
        <w:t>интегрирането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им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в</w:t>
      </w:r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обществото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>;</w:t>
      </w:r>
    </w:p>
    <w:p w:rsidR="00F36C78" w:rsidRPr="00FA14AF" w:rsidRDefault="00F36C78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szCs w:val="24"/>
          <w:lang w:eastAsia="bg-BG"/>
        </w:rPr>
        <w:t xml:space="preserve">• </w:t>
      </w:r>
      <w:proofErr w:type="spellStart"/>
      <w:r w:rsidRPr="00FA14AF">
        <w:rPr>
          <w:rStyle w:val="Strong"/>
          <w:b w:val="0"/>
          <w:szCs w:val="24"/>
          <w:lang w:eastAsia="bg-BG"/>
        </w:rPr>
        <w:t>Мотивиране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и </w:t>
      </w:r>
      <w:proofErr w:type="spellStart"/>
      <w:r w:rsidRPr="00FA14AF">
        <w:rPr>
          <w:rStyle w:val="Strong"/>
          <w:b w:val="0"/>
          <w:szCs w:val="24"/>
          <w:lang w:eastAsia="bg-BG"/>
        </w:rPr>
        <w:t>стимулиране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хората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в </w:t>
      </w:r>
      <w:proofErr w:type="spellStart"/>
      <w:r w:rsidRPr="00FA14AF">
        <w:rPr>
          <w:rStyle w:val="Strong"/>
          <w:b w:val="0"/>
          <w:szCs w:val="24"/>
          <w:lang w:eastAsia="bg-BG"/>
        </w:rPr>
        <w:t>риск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да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справят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с </w:t>
      </w:r>
      <w:proofErr w:type="spellStart"/>
      <w:r w:rsidRPr="00FA14AF">
        <w:rPr>
          <w:rStyle w:val="Strong"/>
          <w:b w:val="0"/>
          <w:szCs w:val="24"/>
          <w:lang w:eastAsia="bg-BG"/>
        </w:rPr>
        <w:t>проблеми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си</w:t>
      </w:r>
      <w:proofErr w:type="spellEnd"/>
      <w:r w:rsidRPr="00FA14AF">
        <w:rPr>
          <w:rStyle w:val="Strong"/>
          <w:b w:val="0"/>
          <w:szCs w:val="24"/>
          <w:lang w:val="bg-BG" w:eastAsia="bg-BG"/>
        </w:rPr>
        <w:t>;</w:t>
      </w:r>
    </w:p>
    <w:p w:rsidR="00F36C78" w:rsidRPr="00FA14AF" w:rsidRDefault="00F36C78" w:rsidP="00F36C78">
      <w:pPr>
        <w:jc w:val="both"/>
        <w:rPr>
          <w:rStyle w:val="Strong"/>
          <w:b w:val="0"/>
          <w:szCs w:val="24"/>
          <w:lang w:eastAsia="bg-BG"/>
        </w:rPr>
      </w:pPr>
      <w:r w:rsidRPr="00FA14AF">
        <w:rPr>
          <w:rStyle w:val="Strong"/>
          <w:b w:val="0"/>
          <w:szCs w:val="24"/>
          <w:lang w:eastAsia="bg-BG"/>
        </w:rPr>
        <w:t xml:space="preserve">• </w:t>
      </w:r>
      <w:proofErr w:type="spellStart"/>
      <w:r w:rsidRPr="00FA14AF">
        <w:rPr>
          <w:rStyle w:val="Strong"/>
          <w:b w:val="0"/>
          <w:szCs w:val="24"/>
          <w:lang w:eastAsia="bg-BG"/>
        </w:rPr>
        <w:t>Активизиране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гражданското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общество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за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толерантност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, </w:t>
      </w:r>
      <w:proofErr w:type="spellStart"/>
      <w:r w:rsidRPr="00FA14AF">
        <w:rPr>
          <w:rStyle w:val="Strong"/>
          <w:b w:val="0"/>
          <w:szCs w:val="24"/>
          <w:lang w:eastAsia="bg-BG"/>
        </w:rPr>
        <w:t>съпричастност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и</w:t>
      </w:r>
      <w:r w:rsidRPr="00FA14AF">
        <w:rPr>
          <w:rStyle w:val="Strong"/>
          <w:b w:val="0"/>
          <w:szCs w:val="24"/>
          <w:lang w:val="bg-BG"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социалност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към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хората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в </w:t>
      </w:r>
      <w:proofErr w:type="spellStart"/>
      <w:r w:rsidRPr="00FA14AF">
        <w:rPr>
          <w:rStyle w:val="Strong"/>
          <w:b w:val="0"/>
          <w:szCs w:val="24"/>
          <w:lang w:eastAsia="bg-BG"/>
        </w:rPr>
        <w:t>неравностойно</w:t>
      </w:r>
      <w:proofErr w:type="spellEnd"/>
      <w:r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Pr="00FA14AF">
        <w:rPr>
          <w:rStyle w:val="Strong"/>
          <w:b w:val="0"/>
          <w:szCs w:val="24"/>
          <w:lang w:eastAsia="bg-BG"/>
        </w:rPr>
        <w:t>положение</w:t>
      </w:r>
      <w:proofErr w:type="spellEnd"/>
      <w:r w:rsidRPr="00FA14AF">
        <w:rPr>
          <w:rStyle w:val="Strong"/>
          <w:b w:val="0"/>
          <w:szCs w:val="24"/>
          <w:lang w:eastAsia="bg-BG"/>
        </w:rPr>
        <w:t>.</w:t>
      </w:r>
    </w:p>
    <w:p w:rsidR="00F36C78" w:rsidRDefault="00F36C78" w:rsidP="00F36C78">
      <w:pPr>
        <w:jc w:val="both"/>
        <w:rPr>
          <w:rStyle w:val="Strong"/>
          <w:szCs w:val="24"/>
          <w:lang w:eastAsia="bg-BG"/>
        </w:rPr>
      </w:pPr>
    </w:p>
    <w:p w:rsidR="00F36C78" w:rsidRDefault="00FA14AF" w:rsidP="00F36C78">
      <w:pPr>
        <w:jc w:val="both"/>
        <w:rPr>
          <w:rStyle w:val="Strong"/>
          <w:szCs w:val="24"/>
          <w:lang w:val="bg-BG" w:eastAsia="bg-BG"/>
        </w:rPr>
      </w:pPr>
      <w:r>
        <w:rPr>
          <w:rStyle w:val="Strong"/>
          <w:szCs w:val="24"/>
          <w:lang w:val="bg-BG" w:eastAsia="bg-BG"/>
        </w:rPr>
        <w:t xml:space="preserve">Срок за изпълнение: </w:t>
      </w:r>
      <w:r w:rsidR="006139EB">
        <w:rPr>
          <w:rStyle w:val="Strong"/>
          <w:szCs w:val="24"/>
          <w:lang w:val="bg-BG" w:eastAsia="bg-BG"/>
        </w:rPr>
        <w:t>07.03.2019 – 31.12.2020</w:t>
      </w:r>
      <w:r>
        <w:rPr>
          <w:rStyle w:val="Strong"/>
          <w:szCs w:val="24"/>
          <w:lang w:val="bg-BG" w:eastAsia="bg-BG"/>
        </w:rPr>
        <w:t xml:space="preserve"> година.</w:t>
      </w:r>
    </w:p>
    <w:p w:rsidR="00FA14AF" w:rsidRDefault="00FA14AF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Cs w:val="0"/>
          <w:szCs w:val="24"/>
          <w:lang w:val="bg-BG" w:eastAsia="bg-BG"/>
        </w:rPr>
        <w:t>Стойност на бюджета по ОП НОИР:</w:t>
      </w:r>
      <w:r w:rsidRPr="00FA14AF">
        <w:rPr>
          <w:rStyle w:val="Strong"/>
          <w:b w:val="0"/>
          <w:bCs w:val="0"/>
          <w:szCs w:val="24"/>
          <w:lang w:val="bg-BG" w:eastAsia="bg-BG"/>
        </w:rPr>
        <w:t xml:space="preserve"> Общо 306 597.80 </w:t>
      </w:r>
      <w:r>
        <w:rPr>
          <w:rStyle w:val="Strong"/>
          <w:b w:val="0"/>
          <w:bCs w:val="0"/>
          <w:szCs w:val="24"/>
          <w:lang w:val="bg-BG" w:eastAsia="bg-BG"/>
        </w:rPr>
        <w:t>лева</w:t>
      </w:r>
      <w:r>
        <w:rPr>
          <w:rStyle w:val="Strong"/>
          <w:b w:val="0"/>
          <w:bCs w:val="0"/>
          <w:szCs w:val="24"/>
          <w:lang w:val="bg-BG" w:eastAsia="bg-BG"/>
        </w:rPr>
        <w:t>, от които</w:t>
      </w:r>
    </w:p>
    <w:p w:rsidR="00FA14AF" w:rsidRDefault="00FA14AF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bCs w:val="0"/>
          <w:szCs w:val="24"/>
          <w:lang w:val="bg-BG" w:eastAsia="bg-BG"/>
        </w:rPr>
        <w:t xml:space="preserve">Финансиране от ЕС ЕСФ 260 608.13 </w:t>
      </w:r>
      <w:r>
        <w:rPr>
          <w:rStyle w:val="Strong"/>
          <w:b w:val="0"/>
          <w:bCs w:val="0"/>
          <w:szCs w:val="24"/>
          <w:lang w:val="bg-BG" w:eastAsia="bg-BG"/>
        </w:rPr>
        <w:t>лева</w:t>
      </w:r>
      <w:bookmarkStart w:id="0" w:name="_GoBack"/>
      <w:bookmarkEnd w:id="0"/>
    </w:p>
    <w:p w:rsidR="00FA14AF" w:rsidRDefault="00FA14AF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bCs w:val="0"/>
          <w:szCs w:val="24"/>
          <w:lang w:val="bg-BG" w:eastAsia="bg-BG"/>
        </w:rPr>
        <w:t>Национално финансиране 45 989.67</w:t>
      </w:r>
      <w:r>
        <w:rPr>
          <w:rStyle w:val="Strong"/>
          <w:b w:val="0"/>
          <w:bCs w:val="0"/>
          <w:szCs w:val="24"/>
          <w:lang w:val="bg-BG" w:eastAsia="bg-BG"/>
        </w:rPr>
        <w:t xml:space="preserve"> </w:t>
      </w:r>
      <w:r>
        <w:rPr>
          <w:rStyle w:val="Strong"/>
          <w:b w:val="0"/>
          <w:bCs w:val="0"/>
          <w:szCs w:val="24"/>
          <w:lang w:val="bg-BG" w:eastAsia="bg-BG"/>
        </w:rPr>
        <w:t>лева</w:t>
      </w:r>
    </w:p>
    <w:p w:rsidR="00FA14AF" w:rsidRDefault="00FA14AF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Cs w:val="0"/>
          <w:szCs w:val="24"/>
          <w:lang w:val="bg-BG" w:eastAsia="bg-BG"/>
        </w:rPr>
        <w:t>Стойност на бюджета:</w:t>
      </w:r>
      <w:r w:rsidRPr="00FA14AF">
        <w:rPr>
          <w:rStyle w:val="Strong"/>
          <w:b w:val="0"/>
          <w:bCs w:val="0"/>
          <w:szCs w:val="24"/>
          <w:lang w:val="bg-BG" w:eastAsia="bg-BG"/>
        </w:rPr>
        <w:t xml:space="preserve"> Общо 398 891.72 </w:t>
      </w:r>
      <w:r>
        <w:rPr>
          <w:rStyle w:val="Strong"/>
          <w:b w:val="0"/>
          <w:bCs w:val="0"/>
          <w:szCs w:val="24"/>
          <w:lang w:val="bg-BG" w:eastAsia="bg-BG"/>
        </w:rPr>
        <w:t>лева</w:t>
      </w:r>
      <w:r>
        <w:rPr>
          <w:rStyle w:val="Strong"/>
          <w:b w:val="0"/>
          <w:bCs w:val="0"/>
          <w:szCs w:val="24"/>
          <w:lang w:val="bg-BG" w:eastAsia="bg-BG"/>
        </w:rPr>
        <w:t>, от които</w:t>
      </w:r>
    </w:p>
    <w:p w:rsidR="00FA14AF" w:rsidRDefault="00FA14AF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bCs w:val="0"/>
          <w:szCs w:val="24"/>
          <w:lang w:val="bg-BG" w:eastAsia="bg-BG"/>
        </w:rPr>
        <w:t xml:space="preserve">Финансиране от ЕС ЕСФ 339 057.96 </w:t>
      </w:r>
      <w:r>
        <w:rPr>
          <w:rStyle w:val="Strong"/>
          <w:b w:val="0"/>
          <w:bCs w:val="0"/>
          <w:szCs w:val="24"/>
          <w:lang w:val="bg-BG" w:eastAsia="bg-BG"/>
        </w:rPr>
        <w:t>лева</w:t>
      </w:r>
    </w:p>
    <w:p w:rsidR="00FA14AF" w:rsidRPr="00FA14AF" w:rsidRDefault="00FA14AF" w:rsidP="00F36C78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 w:rsidRPr="00FA14AF">
        <w:rPr>
          <w:rStyle w:val="Strong"/>
          <w:b w:val="0"/>
          <w:bCs w:val="0"/>
          <w:szCs w:val="24"/>
          <w:lang w:val="bg-BG" w:eastAsia="bg-BG"/>
        </w:rPr>
        <w:t>Национално финансиране 59 833.76</w:t>
      </w:r>
      <w:r>
        <w:rPr>
          <w:rStyle w:val="Strong"/>
          <w:b w:val="0"/>
          <w:bCs w:val="0"/>
          <w:szCs w:val="24"/>
          <w:lang w:val="bg-BG" w:eastAsia="bg-BG"/>
        </w:rPr>
        <w:t xml:space="preserve"> лева</w:t>
      </w:r>
    </w:p>
    <w:p w:rsidR="00F36C78" w:rsidRPr="00F36C78" w:rsidRDefault="00F36C78">
      <w:pPr>
        <w:rPr>
          <w:lang w:val="bg-BG"/>
        </w:rPr>
      </w:pPr>
    </w:p>
    <w:sectPr w:rsidR="00F36C78" w:rsidRPr="00F3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78"/>
    <w:rsid w:val="00530A71"/>
    <w:rsid w:val="006139EB"/>
    <w:rsid w:val="00F36C78"/>
    <w:rsid w:val="00F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55C9E-40E8-4273-8685-CD70D0A0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36C78"/>
    <w:rPr>
      <w:b/>
      <w:bCs/>
    </w:rPr>
  </w:style>
  <w:style w:type="paragraph" w:styleId="Header">
    <w:name w:val="header"/>
    <w:basedOn w:val="Normal"/>
    <w:link w:val="HeaderChar"/>
    <w:rsid w:val="00F36C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36C78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2019-03-14T13:55:00Z</dcterms:created>
  <dcterms:modified xsi:type="dcterms:W3CDTF">2019-03-14T14:07:00Z</dcterms:modified>
</cp:coreProperties>
</file>